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Воспитание эмоциональной устойчивости и культуры достойного проигрыша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Первая помощь при острой реакции на проигрыш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Родитель сохраняет спокойствие, не стыдит и не высмеивает слёзы («не реви из-за ерунды»)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Ребёнку предоставлено безопасное пространство и время выпустить досаду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Проявлено безусловное сочувствие: «Очень обидно проигрывать, я рядом»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Разделение результата игры и самооценки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Акцент смещён с победы на приложенные усилия и прогресс («Growth Mindset»)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Подчёркнуты удачные моменты игры или выступления ребёнка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Закреплено понимание: ошибка — это естественный инструмент обучения, а не приговор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Практика культуры Fair Play (Честной игры)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Введён ритуал искреннего рукопожатия и поздравления победителя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Исключены постоянные искусственные поддавки в домашних настольных играх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Родитель на личном примере демонстрирует спокойное отношение к собственным ошибкам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Конструктивный разбор после снижения эмоций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Спустя время вместе проанализированы причины результата: стратегия, усталость или случайность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Определена одна точка роста для следующей тренировки или партии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Сформирован интерес к продолжению тренировок ради собственного удовольствия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