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Сравнение учебных графиков: чек-лист для родителей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Анализ классических четвертей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Оценить риск усталости ребенка во время длинной 3-й четверти (10–11 недель)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Учесть совпадение каникул со всеми школами города и учреждениями доп. образования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Отслеживать динамику сезонной заболеваемости в зимний период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Преимущества модульных триместров (5+1)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Регулярная разгрузка каждые 5–6 недель снижает школьный стресс и утомляемость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Меньше пропусков уроков из-за болезней благодаря своевременному отдыху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Выставление итоговых оценок 3 раза в год снижает напряжение от текущих двоек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Организация семейного расписания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Синхронизировать графики отпусков и поездок с учебным календарем школы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Организовать полезную занятость ребенка на время коротких модульных каникул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При необходимости поднять вопрос о графике обучения на Управляющем совете школы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