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7 табу родительской критики: памятка для дома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Запретные поводы для наказаний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 проявление естественных эмоций: слезы, гнев, печаль, растерянность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 бытовую неловкость и случайности: пролитый сок, разбитую тарелку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 особенности врожденного темперамента: медлительность или высокую активность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 отказ обниматься или терпеть нарушение личных физических границ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 ошибки в вещах, которым ребенка еще никто подробно не обучил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Конструктивная замена наказаниям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Вместо крика: совместная уборка последствий аварии без язвительных комментариев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Вместо обвинений: объяснение алгоритма действий на будущее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Вместо унижения: признание права на ошибку и поддержка детской инициативы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Самопроверка родителя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Спросить себя: «Я наказываю, чтобы научить, или чтобы выплеснуть свое раздражение?»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Убедиться, что ребенок чувствует себя в безопасности даже при совершении ошибки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Завершать любой сложный разговор подтверждением любви и поддержки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